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DE" w:rsidRPr="007822A2" w:rsidRDefault="00B27BE3" w:rsidP="007822A2">
      <w:pPr>
        <w:spacing w:before="120" w:after="340" w:line="240" w:lineRule="auto"/>
        <w:rPr>
          <w:rFonts w:ascii="Palatino Linotype" w:eastAsia="Times New Roman" w:hAnsi="Palatino Linotype" w:cs="Times New Roman"/>
          <w:b/>
        </w:rPr>
      </w:pPr>
      <w:r>
        <w:rPr>
          <w:rFonts w:ascii="Palatino Linotype" w:eastAsia="Times New Roman" w:hAnsi="Palatino Linotype" w:cs="Times New Roman"/>
          <w:b/>
          <w:noProof/>
        </w:rPr>
        <w:drawing>
          <wp:anchor distT="0" distB="0" distL="114300" distR="114300" simplePos="0" relativeHeight="251658240" behindDoc="0" locked="0" layoutInCell="1" allowOverlap="1" wp14:anchorId="45511C2E" wp14:editId="53B2E9F3">
            <wp:simplePos x="0" y="0"/>
            <wp:positionH relativeFrom="margin">
              <wp:posOffset>4848225</wp:posOffset>
            </wp:positionH>
            <wp:positionV relativeFrom="margin">
              <wp:align>top</wp:align>
            </wp:positionV>
            <wp:extent cx="1647825" cy="4298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429895"/>
                    </a:xfrm>
                    <a:prstGeom prst="rect">
                      <a:avLst/>
                    </a:prstGeom>
                  </pic:spPr>
                </pic:pic>
              </a:graphicData>
            </a:graphic>
            <wp14:sizeRelH relativeFrom="margin">
              <wp14:pctWidth>0</wp14:pctWidth>
            </wp14:sizeRelH>
            <wp14:sizeRelV relativeFrom="margin">
              <wp14:pctHeight>0</wp14:pctHeight>
            </wp14:sizeRelV>
          </wp:anchor>
        </w:drawing>
      </w:r>
      <w:r w:rsidR="009931DE" w:rsidRPr="007822A2">
        <w:rPr>
          <w:rFonts w:ascii="Palatino Linotype" w:eastAsia="Times New Roman" w:hAnsi="Palatino Linotype" w:cs="Times New Roman"/>
          <w:b/>
        </w:rPr>
        <w:t>EDUCATION QUALITY TEAM TECHNICAL ASSISTANCE</w:t>
      </w:r>
    </w:p>
    <w:p w:rsidR="009931DE" w:rsidRPr="009931DE" w:rsidRDefault="009931DE" w:rsidP="007822A2">
      <w:pPr>
        <w:spacing w:before="120" w:after="340" w:line="240" w:lineRule="auto"/>
        <w:rPr>
          <w:rFonts w:ascii="Palatino Linotype" w:eastAsia="Times New Roman" w:hAnsi="Palatino Linotype" w:cs="Times New Roman"/>
        </w:rPr>
      </w:pPr>
      <w:r w:rsidRPr="009931DE">
        <w:rPr>
          <w:rFonts w:ascii="Palatino Linotype" w:eastAsia="Times New Roman" w:hAnsi="Palatino Linotype" w:cs="Times New Roman"/>
          <w:color w:val="333333"/>
        </w:rPr>
        <w:t xml:space="preserve">The Agency of Education provides a </w:t>
      </w:r>
      <w:r w:rsidRPr="009931DE">
        <w:rPr>
          <w:rFonts w:ascii="Palatino Linotype" w:eastAsia="Times New Roman" w:hAnsi="Palatino Linotype" w:cs="Times New Roman"/>
          <w:b/>
          <w:bCs/>
          <w:color w:val="333333"/>
        </w:rPr>
        <w:t>statewide system of support for continuous improvement</w:t>
      </w:r>
      <w:r w:rsidRPr="009931DE">
        <w:rPr>
          <w:rFonts w:ascii="Palatino Linotype" w:eastAsia="Times New Roman" w:hAnsi="Palatino Linotype" w:cs="Times New Roman"/>
          <w:color w:val="333333"/>
        </w:rPr>
        <w:t xml:space="preserve"> by:</w:t>
      </w:r>
    </w:p>
    <w:p w:rsidR="009931DE" w:rsidRPr="009931DE" w:rsidRDefault="009931DE" w:rsidP="007822A2">
      <w:pPr>
        <w:numPr>
          <w:ilvl w:val="0"/>
          <w:numId w:val="1"/>
        </w:numPr>
        <w:spacing w:before="340" w:after="0" w:line="240" w:lineRule="auto"/>
        <w:textAlignment w:val="baseline"/>
        <w:rPr>
          <w:rFonts w:ascii="Palatino Linotype" w:eastAsia="Times New Roman" w:hAnsi="Palatino Linotype" w:cs="Times New Roman"/>
          <w:color w:val="333333"/>
        </w:rPr>
      </w:pPr>
      <w:r w:rsidRPr="009931DE">
        <w:rPr>
          <w:rFonts w:ascii="Palatino Linotype" w:eastAsia="Times New Roman" w:hAnsi="Palatino Linotype" w:cs="Times New Roman"/>
          <w:color w:val="333333"/>
        </w:rPr>
        <w:t>training and support for applying an improvement science approach to continuous improvement planning;</w:t>
      </w:r>
    </w:p>
    <w:p w:rsidR="009931DE" w:rsidRPr="009931DE" w:rsidRDefault="009931DE" w:rsidP="007822A2">
      <w:pPr>
        <w:numPr>
          <w:ilvl w:val="0"/>
          <w:numId w:val="1"/>
        </w:numPr>
        <w:spacing w:after="0" w:line="240" w:lineRule="auto"/>
        <w:textAlignment w:val="baseline"/>
        <w:rPr>
          <w:rFonts w:ascii="Palatino Linotype" w:eastAsia="Times New Roman" w:hAnsi="Palatino Linotype" w:cs="Times New Roman"/>
          <w:color w:val="333333"/>
        </w:rPr>
      </w:pPr>
      <w:r w:rsidRPr="009931DE">
        <w:rPr>
          <w:rFonts w:ascii="Palatino Linotype" w:eastAsia="Times New Roman" w:hAnsi="Palatino Linotype" w:cs="Times New Roman"/>
          <w:color w:val="333333"/>
        </w:rPr>
        <w:t>guiding the administration of comprehensive needs assessments and implementing continuous improvement plans;</w:t>
      </w:r>
    </w:p>
    <w:p w:rsidR="009931DE" w:rsidRPr="009931DE" w:rsidRDefault="009931DE" w:rsidP="007822A2">
      <w:pPr>
        <w:numPr>
          <w:ilvl w:val="0"/>
          <w:numId w:val="1"/>
        </w:numPr>
        <w:spacing w:after="0" w:line="240" w:lineRule="auto"/>
        <w:textAlignment w:val="baseline"/>
        <w:rPr>
          <w:rFonts w:ascii="Palatino Linotype" w:eastAsia="Times New Roman" w:hAnsi="Palatino Linotype" w:cs="Times New Roman"/>
          <w:color w:val="333333"/>
        </w:rPr>
      </w:pPr>
      <w:r w:rsidRPr="009931DE">
        <w:rPr>
          <w:rFonts w:ascii="Palatino Linotype" w:eastAsia="Times New Roman" w:hAnsi="Palatino Linotype" w:cs="Times New Roman"/>
          <w:color w:val="333333"/>
        </w:rPr>
        <w:t>differentiating support and monitoring of continuous improvement plans; and</w:t>
      </w:r>
    </w:p>
    <w:p w:rsidR="009931DE" w:rsidRPr="009931DE" w:rsidRDefault="009931DE" w:rsidP="007822A2">
      <w:pPr>
        <w:numPr>
          <w:ilvl w:val="0"/>
          <w:numId w:val="1"/>
        </w:numPr>
        <w:spacing w:after="340" w:line="240" w:lineRule="auto"/>
        <w:textAlignment w:val="baseline"/>
        <w:rPr>
          <w:rFonts w:ascii="Palatino Linotype" w:eastAsia="Times New Roman" w:hAnsi="Palatino Linotype" w:cs="Times New Roman"/>
          <w:color w:val="333333"/>
        </w:rPr>
      </w:pPr>
      <w:proofErr w:type="gramStart"/>
      <w:r w:rsidRPr="009931DE">
        <w:rPr>
          <w:rFonts w:ascii="Palatino Linotype" w:eastAsia="Times New Roman" w:hAnsi="Palatino Linotype" w:cs="Times New Roman"/>
          <w:color w:val="333333"/>
        </w:rPr>
        <w:t>organizing</w:t>
      </w:r>
      <w:proofErr w:type="gramEnd"/>
      <w:r w:rsidRPr="009931DE">
        <w:rPr>
          <w:rFonts w:ascii="Palatino Linotype" w:eastAsia="Times New Roman" w:hAnsi="Palatino Linotype" w:cs="Times New Roman"/>
          <w:color w:val="333333"/>
        </w:rPr>
        <w:t xml:space="preserve"> and managing systems of Networked Improvement Communities (NICs) in which schools can test and revise improvement theories, as well as share promising practices.</w:t>
      </w:r>
    </w:p>
    <w:p w:rsidR="009931DE" w:rsidRPr="009931DE" w:rsidRDefault="009931DE" w:rsidP="007822A2">
      <w:pPr>
        <w:spacing w:before="360" w:after="180" w:line="240" w:lineRule="auto"/>
        <w:outlineLvl w:val="3"/>
        <w:rPr>
          <w:rFonts w:ascii="Palatino Linotype" w:eastAsia="Times New Roman" w:hAnsi="Palatino Linotype" w:cs="Times New Roman"/>
          <w:b/>
          <w:bCs/>
        </w:rPr>
      </w:pPr>
      <w:r w:rsidRPr="009931DE">
        <w:rPr>
          <w:rFonts w:ascii="Palatino Linotype" w:eastAsia="Times New Roman" w:hAnsi="Palatino Linotype" w:cs="Times New Roman"/>
          <w:b/>
          <w:bCs/>
          <w:color w:val="333333"/>
        </w:rPr>
        <w:t>Theory of Action</w:t>
      </w:r>
    </w:p>
    <w:p w:rsidR="009931DE" w:rsidRPr="009931DE" w:rsidRDefault="009931DE" w:rsidP="007822A2">
      <w:pPr>
        <w:spacing w:before="120" w:after="340" w:line="240" w:lineRule="auto"/>
        <w:rPr>
          <w:rFonts w:ascii="Palatino Linotype" w:eastAsia="Times New Roman" w:hAnsi="Palatino Linotype" w:cs="Times New Roman"/>
        </w:rPr>
      </w:pPr>
      <w:r w:rsidRPr="009931DE">
        <w:rPr>
          <w:rFonts w:ascii="Palatino Linotype" w:eastAsia="Times New Roman" w:hAnsi="Palatino Linotype" w:cs="Times New Roman"/>
          <w:color w:val="333333"/>
        </w:rPr>
        <w:t xml:space="preserve">If we provide evidence-based, differentiated technical assistance, resources, and professional learning opportunities to Supervisory Unions and Supervisory Districts based on a coherent, education quality and continuous improvement framework, then we will build statewide capacity, equity, </w:t>
      </w:r>
      <w:proofErr w:type="gramStart"/>
      <w:r w:rsidRPr="009931DE">
        <w:rPr>
          <w:rFonts w:ascii="Palatino Linotype" w:eastAsia="Times New Roman" w:hAnsi="Palatino Linotype" w:cs="Times New Roman"/>
          <w:color w:val="333333"/>
        </w:rPr>
        <w:t>internal</w:t>
      </w:r>
      <w:proofErr w:type="gramEnd"/>
      <w:r w:rsidRPr="009931DE">
        <w:rPr>
          <w:rFonts w:ascii="Palatino Linotype" w:eastAsia="Times New Roman" w:hAnsi="Palatino Linotype" w:cs="Times New Roman"/>
          <w:color w:val="333333"/>
        </w:rPr>
        <w:t xml:space="preserve"> accountability and improve educational outcomes for all.</w:t>
      </w:r>
    </w:p>
    <w:p w:rsidR="009931DE" w:rsidRPr="009931DE" w:rsidRDefault="009931DE" w:rsidP="007822A2">
      <w:pPr>
        <w:spacing w:before="120" w:after="340" w:line="240" w:lineRule="auto"/>
        <w:rPr>
          <w:rFonts w:ascii="Palatino Linotype" w:eastAsia="Times New Roman" w:hAnsi="Palatino Linotype" w:cs="Times New Roman"/>
        </w:rPr>
      </w:pPr>
      <w:r w:rsidRPr="009931DE">
        <w:rPr>
          <w:rFonts w:ascii="Palatino Linotype" w:eastAsia="Times New Roman" w:hAnsi="Palatino Linotype" w:cs="Times New Roman"/>
          <w:color w:val="333333"/>
        </w:rPr>
        <w:t xml:space="preserve">We have been in the process of maximizing the quality of internal infrastructure and processes in order to better support the needs of our local education agencies (LEAs) and schools. Our Education Quality Team (formerly School Effectiveness) is committed to providing evidence-informed, differentiated technical assistance, resources, professional learning opportunities, and support to local education agencies, based on a coherent education quality framework for continuous improvement. Our goal is to build statewide capacity, equity, internal accountability, and improve educational outcomes for all. Collectively, with other newly formed Agency of Education teams, we are integrating our </w:t>
      </w:r>
      <w:hyperlink r:id="rId6" w:history="1">
        <w:r w:rsidRPr="007822A2">
          <w:rPr>
            <w:rFonts w:ascii="Palatino Linotype" w:eastAsia="Times New Roman" w:hAnsi="Palatino Linotype" w:cs="Times New Roman"/>
            <w:color w:val="003300"/>
            <w:u w:val="single"/>
          </w:rPr>
          <w:t>Education Quality Standards (EQS)</w:t>
        </w:r>
      </w:hyperlink>
      <w:r w:rsidRPr="009931DE">
        <w:rPr>
          <w:rFonts w:ascii="Palatino Linotype" w:eastAsia="Times New Roman" w:hAnsi="Palatino Linotype" w:cs="Times New Roman"/>
          <w:color w:val="333333"/>
        </w:rPr>
        <w:t>, as well as the new federal Every Student Succeeds Act (ESSA) standards for equity, to best support LEAs and schools.</w:t>
      </w:r>
    </w:p>
    <w:p w:rsidR="007822A2" w:rsidRDefault="009931DE" w:rsidP="007822A2">
      <w:pPr>
        <w:spacing w:before="120" w:after="340" w:line="240" w:lineRule="auto"/>
        <w:rPr>
          <w:rFonts w:ascii="Palatino Linotype" w:eastAsia="Times New Roman" w:hAnsi="Palatino Linotype" w:cs="Times New Roman"/>
        </w:rPr>
      </w:pPr>
      <w:r w:rsidRPr="009931DE">
        <w:rPr>
          <w:rFonts w:ascii="Palatino Linotype" w:eastAsia="Times New Roman" w:hAnsi="Palatino Linotype" w:cs="Times New Roman"/>
          <w:b/>
          <w:bCs/>
          <w:color w:val="333333"/>
        </w:rPr>
        <w:t xml:space="preserve">Education Quality Reviews (EQR) </w:t>
      </w:r>
      <w:r w:rsidRPr="009931DE">
        <w:rPr>
          <w:rFonts w:ascii="Palatino Linotype" w:eastAsia="Times New Roman" w:hAnsi="Palatino Linotype" w:cs="Times New Roman"/>
          <w:color w:val="333333"/>
        </w:rPr>
        <w:t>help assess the degree to which the Education Quality Standards (EQS) are being addressed in Vermont schools, identify best practices and to support the continuous improvement of our schools.</w:t>
      </w:r>
    </w:p>
    <w:p w:rsidR="007822A2" w:rsidRDefault="009931DE" w:rsidP="007822A2">
      <w:pPr>
        <w:spacing w:after="0" w:line="240" w:lineRule="auto"/>
        <w:rPr>
          <w:rFonts w:ascii="Palatino Linotype" w:eastAsia="Times New Roman" w:hAnsi="Palatino Linotype" w:cs="Times New Roman"/>
          <w:color w:val="333333"/>
        </w:rPr>
      </w:pPr>
      <w:r w:rsidRPr="009931DE">
        <w:rPr>
          <w:rFonts w:ascii="Palatino Linotype" w:eastAsia="Times New Roman" w:hAnsi="Palatino Linotype" w:cs="Times New Roman"/>
          <w:color w:val="333333"/>
        </w:rPr>
        <w:t>We will assess implementation of EQS through two reviews:</w:t>
      </w:r>
    </w:p>
    <w:p w:rsidR="009931DE" w:rsidRPr="007822A2" w:rsidRDefault="009931DE" w:rsidP="007822A2">
      <w:pPr>
        <w:pStyle w:val="ListParagraph"/>
        <w:numPr>
          <w:ilvl w:val="0"/>
          <w:numId w:val="3"/>
        </w:numPr>
        <w:spacing w:after="0" w:line="240" w:lineRule="auto"/>
        <w:rPr>
          <w:rFonts w:ascii="Palatino Linotype" w:eastAsia="Times New Roman" w:hAnsi="Palatino Linotype" w:cs="Times New Roman"/>
          <w:color w:val="333333"/>
        </w:rPr>
      </w:pPr>
      <w:r w:rsidRPr="007822A2">
        <w:rPr>
          <w:rFonts w:ascii="Palatino Linotype" w:eastAsia="Times New Roman" w:hAnsi="Palatino Linotype" w:cs="Times New Roman"/>
          <w:color w:val="333333"/>
        </w:rPr>
        <w:t>Annual Snapshot Review</w:t>
      </w:r>
    </w:p>
    <w:p w:rsidR="009931DE" w:rsidRPr="007822A2" w:rsidRDefault="009931DE" w:rsidP="007822A2">
      <w:pPr>
        <w:pStyle w:val="ListParagraph"/>
        <w:numPr>
          <w:ilvl w:val="0"/>
          <w:numId w:val="3"/>
        </w:numPr>
        <w:spacing w:after="0" w:line="240" w:lineRule="auto"/>
        <w:textAlignment w:val="baseline"/>
        <w:rPr>
          <w:rFonts w:ascii="Palatino Linotype" w:eastAsia="Times New Roman" w:hAnsi="Palatino Linotype" w:cs="Times New Roman"/>
          <w:color w:val="333333"/>
        </w:rPr>
      </w:pPr>
      <w:r w:rsidRPr="007822A2">
        <w:rPr>
          <w:rFonts w:ascii="Palatino Linotype" w:eastAsia="Times New Roman" w:hAnsi="Palatino Linotype" w:cs="Times New Roman"/>
          <w:color w:val="333333"/>
        </w:rPr>
        <w:t>Integrated Field Review</w:t>
      </w:r>
    </w:p>
    <w:p w:rsidR="006E344E" w:rsidRDefault="009931DE" w:rsidP="007822A2">
      <w:pPr>
        <w:spacing w:before="340" w:line="240" w:lineRule="auto"/>
        <w:outlineLvl w:val="2"/>
        <w:rPr>
          <w:rFonts w:ascii="Palatino Linotype" w:eastAsia="Times New Roman" w:hAnsi="Palatino Linotype" w:cs="Times New Roman"/>
          <w:color w:val="333333"/>
        </w:rPr>
      </w:pPr>
      <w:r w:rsidRPr="009931DE">
        <w:rPr>
          <w:rFonts w:ascii="Palatino Linotype" w:eastAsia="Times New Roman" w:hAnsi="Palatino Linotype" w:cs="Times New Roman"/>
          <w:b/>
          <w:bCs/>
          <w:color w:val="333333"/>
        </w:rPr>
        <w:t>Pilot Program</w:t>
      </w:r>
      <w:r w:rsidR="007822A2">
        <w:rPr>
          <w:rFonts w:ascii="Palatino Linotype" w:eastAsia="Times New Roman" w:hAnsi="Palatino Linotype" w:cs="Times New Roman"/>
          <w:b/>
          <w:bCs/>
        </w:rPr>
        <w:t xml:space="preserve">: </w:t>
      </w:r>
      <w:r w:rsidRPr="009931DE">
        <w:rPr>
          <w:rFonts w:ascii="Palatino Linotype" w:eastAsia="Times New Roman" w:hAnsi="Palatino Linotype" w:cs="Times New Roman"/>
          <w:color w:val="333333"/>
        </w:rPr>
        <w:t>The Agency of Education is working to pilot both the Annual Snapshot Review and Integrated Field Review to help inform the final process for Education Quality Reviews.</w:t>
      </w:r>
    </w:p>
    <w:p w:rsidR="00B27BE3" w:rsidRDefault="00B27BE3" w:rsidP="00B27BE3">
      <w:pPr>
        <w:spacing w:before="340" w:line="240" w:lineRule="auto"/>
        <w:outlineLvl w:val="2"/>
        <w:rPr>
          <w:rFonts w:ascii="Palatino Linotype" w:eastAsia="Times New Roman" w:hAnsi="Palatino Linotype" w:cs="Times New Roman"/>
          <w:color w:val="333333"/>
        </w:rPr>
      </w:pPr>
      <w:r>
        <w:rPr>
          <w:rFonts w:ascii="Palatino Linotype" w:eastAsia="Times New Roman" w:hAnsi="Palatino Linotype" w:cs="Times New Roman"/>
          <w:color w:val="333333"/>
        </w:rPr>
        <w:t xml:space="preserve">In case you missed Secretary Holcombe’s memo on our staffing changes: </w:t>
      </w:r>
      <w:hyperlink r:id="rId7" w:history="1">
        <w:r w:rsidRPr="00D55569">
          <w:rPr>
            <w:rStyle w:val="Hyperlink"/>
            <w:rFonts w:ascii="Palatino Linotype" w:eastAsia="Times New Roman" w:hAnsi="Palatino Linotype" w:cs="Times New Roman"/>
          </w:rPr>
          <w:t>http://education.vermont.gov/memos/edu-memo-aoe-staff-realignment</w:t>
        </w:r>
      </w:hyperlink>
      <w:r>
        <w:rPr>
          <w:rFonts w:ascii="Palatino Linotype" w:eastAsia="Times New Roman" w:hAnsi="Palatino Linotype" w:cs="Times New Roman"/>
          <w:color w:val="333333"/>
        </w:rPr>
        <w:t xml:space="preserve"> </w:t>
      </w:r>
    </w:p>
    <w:p w:rsidR="00986B0C" w:rsidRDefault="00986B0C" w:rsidP="007822A2">
      <w:pPr>
        <w:spacing w:before="340" w:line="240" w:lineRule="auto"/>
        <w:outlineLvl w:val="2"/>
        <w:rPr>
          <w:rFonts w:ascii="Palatino Linotype" w:eastAsia="Times New Roman" w:hAnsi="Palatino Linotype" w:cs="Times New Roman"/>
          <w:color w:val="333333"/>
        </w:rPr>
      </w:pPr>
    </w:p>
    <w:p w:rsidR="00986B0C" w:rsidRDefault="00986B0C" w:rsidP="007822A2">
      <w:pPr>
        <w:spacing w:before="340" w:line="240" w:lineRule="auto"/>
        <w:outlineLvl w:val="2"/>
        <w:rPr>
          <w:rFonts w:ascii="Palatino Linotype" w:eastAsia="Times New Roman" w:hAnsi="Palatino Linotype" w:cs="Times New Roman"/>
          <w:color w:val="333333"/>
        </w:rPr>
      </w:pPr>
    </w:p>
    <w:tbl>
      <w:tblPr>
        <w:tblW w:w="1155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870"/>
        <w:gridCol w:w="5852"/>
      </w:tblGrid>
      <w:tr w:rsidR="00986B0C" w:rsidTr="00E21579">
        <w:trPr>
          <w:trHeight w:hRule="exact" w:val="1090"/>
        </w:trPr>
        <w:tc>
          <w:tcPr>
            <w:tcW w:w="3830" w:type="dxa"/>
          </w:tcPr>
          <w:p w:rsidR="00986B0C" w:rsidRDefault="00986B0C" w:rsidP="0067439A">
            <w:pPr>
              <w:pStyle w:val="TableParagraph"/>
              <w:spacing w:before="5"/>
              <w:ind w:left="0" w:firstLine="0"/>
              <w:rPr>
                <w:rFonts w:ascii="Calibri"/>
                <w:sz w:val="2"/>
              </w:rPr>
            </w:pPr>
          </w:p>
          <w:p w:rsidR="00986B0C" w:rsidRDefault="00986B0C" w:rsidP="0067439A">
            <w:pPr>
              <w:pStyle w:val="TableParagraph"/>
              <w:ind w:left="597" w:firstLine="0"/>
              <w:rPr>
                <w:rFonts w:ascii="Calibri"/>
                <w:sz w:val="20"/>
              </w:rPr>
            </w:pPr>
            <w:r>
              <w:rPr>
                <w:rFonts w:ascii="Calibri"/>
                <w:noProof/>
                <w:sz w:val="20"/>
              </w:rPr>
              <w:drawing>
                <wp:inline distT="0" distB="0" distL="0" distR="0" wp14:anchorId="4CEA848B" wp14:editId="5BEBB06C">
                  <wp:extent cx="1408680" cy="635507"/>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8" cstate="print"/>
                          <a:stretch>
                            <a:fillRect/>
                          </a:stretch>
                        </pic:blipFill>
                        <pic:spPr>
                          <a:xfrm>
                            <a:off x="0" y="0"/>
                            <a:ext cx="1408680" cy="635507"/>
                          </a:xfrm>
                          <a:prstGeom prst="rect">
                            <a:avLst/>
                          </a:prstGeom>
                        </pic:spPr>
                      </pic:pic>
                    </a:graphicData>
                  </a:graphic>
                </wp:inline>
              </w:drawing>
            </w:r>
          </w:p>
        </w:tc>
        <w:tc>
          <w:tcPr>
            <w:tcW w:w="7722" w:type="dxa"/>
            <w:gridSpan w:val="2"/>
            <w:shd w:val="clear" w:color="auto" w:fill="205768"/>
          </w:tcPr>
          <w:p w:rsidR="00986B0C" w:rsidRDefault="00986B0C" w:rsidP="0067439A">
            <w:pPr>
              <w:pStyle w:val="TableParagraph"/>
              <w:spacing w:before="249"/>
              <w:ind w:left="1216" w:firstLine="0"/>
              <w:rPr>
                <w:rFonts w:ascii="Franklin Gothic Medium"/>
                <w:sz w:val="44"/>
              </w:rPr>
            </w:pPr>
            <w:r>
              <w:rPr>
                <w:rFonts w:ascii="Franklin Gothic Medium"/>
                <w:color w:val="FFFFFF"/>
                <w:sz w:val="44"/>
              </w:rPr>
              <w:t xml:space="preserve">Education Quality </w:t>
            </w:r>
          </w:p>
        </w:tc>
      </w:tr>
      <w:tr w:rsidR="00986B0C" w:rsidTr="00E21579">
        <w:trPr>
          <w:trHeight w:hRule="exact" w:val="838"/>
        </w:trPr>
        <w:tc>
          <w:tcPr>
            <w:tcW w:w="11552" w:type="dxa"/>
            <w:gridSpan w:val="3"/>
          </w:tcPr>
          <w:p w:rsidR="00986B0C" w:rsidRDefault="00986B0C" w:rsidP="0067439A">
            <w:pPr>
              <w:pStyle w:val="TableParagraph"/>
              <w:spacing w:line="296" w:lineRule="exact"/>
              <w:ind w:left="103" w:firstLine="0"/>
              <w:rPr>
                <w:b/>
              </w:rPr>
            </w:pPr>
            <w:r>
              <w:rPr>
                <w:b/>
              </w:rPr>
              <w:t>ESSENTIAL SUPPORTS FOR VERMONT’S EDUCATIONAL QUALITY STANDARDS</w:t>
            </w:r>
          </w:p>
          <w:p w:rsidR="00986B0C" w:rsidRDefault="00986B0C" w:rsidP="0067439A">
            <w:pPr>
              <w:pStyle w:val="TableParagraph"/>
              <w:tabs>
                <w:tab w:val="left" w:pos="5554"/>
              </w:tabs>
              <w:spacing w:before="108"/>
              <w:ind w:left="710" w:firstLine="0"/>
            </w:pPr>
            <w:r>
              <w:rPr>
                <w:b/>
              </w:rPr>
              <w:t xml:space="preserve">2125 </w:t>
            </w:r>
            <w:r>
              <w:t>Continuous</w:t>
            </w:r>
            <w:r>
              <w:rPr>
                <w:spacing w:val="-4"/>
              </w:rPr>
              <w:t xml:space="preserve"> </w:t>
            </w:r>
            <w:r>
              <w:t>Improvement</w:t>
            </w:r>
            <w:r>
              <w:rPr>
                <w:spacing w:val="-5"/>
              </w:rPr>
              <w:t xml:space="preserve"> </w:t>
            </w:r>
            <w:r>
              <w:t>Plan</w:t>
            </w:r>
            <w:r>
              <w:tab/>
            </w:r>
            <w:r>
              <w:rPr>
                <w:b/>
              </w:rPr>
              <w:t xml:space="preserve">2126 </w:t>
            </w:r>
            <w:r>
              <w:t>System for Determining Compliance with</w:t>
            </w:r>
            <w:r>
              <w:rPr>
                <w:spacing w:val="-13"/>
              </w:rPr>
              <w:t xml:space="preserve"> </w:t>
            </w:r>
            <w:r>
              <w:t>EQS</w:t>
            </w:r>
          </w:p>
        </w:tc>
      </w:tr>
      <w:tr w:rsidR="00986B0C" w:rsidTr="00E21579">
        <w:trPr>
          <w:trHeight w:hRule="exact" w:val="468"/>
        </w:trPr>
        <w:tc>
          <w:tcPr>
            <w:tcW w:w="11552" w:type="dxa"/>
            <w:gridSpan w:val="3"/>
            <w:shd w:val="clear" w:color="auto" w:fill="205768"/>
          </w:tcPr>
          <w:p w:rsidR="00986B0C" w:rsidRDefault="00986B0C" w:rsidP="0067439A">
            <w:pPr>
              <w:pStyle w:val="TableParagraph"/>
              <w:spacing w:line="400" w:lineRule="exact"/>
              <w:ind w:left="3014" w:firstLine="0"/>
              <w:rPr>
                <w:rFonts w:ascii="Franklin Gothic Medium"/>
                <w:sz w:val="36"/>
              </w:rPr>
            </w:pPr>
            <w:r>
              <w:rPr>
                <w:rFonts w:ascii="Franklin Gothic Medium"/>
                <w:color w:val="FFFFFF"/>
                <w:sz w:val="36"/>
              </w:rPr>
              <w:t>Technical Assistance and Support</w:t>
            </w:r>
          </w:p>
        </w:tc>
      </w:tr>
      <w:tr w:rsidR="00986B0C" w:rsidTr="00E21579">
        <w:trPr>
          <w:trHeight w:hRule="exact" w:val="7117"/>
        </w:trPr>
        <w:tc>
          <w:tcPr>
            <w:tcW w:w="11552" w:type="dxa"/>
            <w:gridSpan w:val="3"/>
          </w:tcPr>
          <w:p w:rsidR="00986B0C" w:rsidRDefault="00986B0C" w:rsidP="0067439A">
            <w:pPr>
              <w:pStyle w:val="TableParagraph"/>
              <w:spacing w:before="119"/>
              <w:ind w:left="103" w:right="1102" w:firstLine="0"/>
            </w:pPr>
            <w:r>
              <w:t>The Vermont AOE believes that a continuous system of improvement, informed by data and on-going professional growth contribute to improved student outcomes and high-quality schools.</w:t>
            </w:r>
          </w:p>
          <w:p w:rsidR="00986B0C" w:rsidRDefault="00986B0C" w:rsidP="0067439A">
            <w:pPr>
              <w:pStyle w:val="TableParagraph"/>
              <w:spacing w:before="108"/>
              <w:ind w:left="103" w:firstLine="0"/>
              <w:rPr>
                <w:b/>
              </w:rPr>
            </w:pPr>
            <w:r>
              <w:rPr>
                <w:b/>
              </w:rPr>
              <w:t>OUR TEAM SUPPORTS INTEGRATED FIELD REVIEWS (IFR) BY:</w:t>
            </w:r>
          </w:p>
          <w:p w:rsidR="00986B0C" w:rsidRDefault="00986B0C" w:rsidP="00986B0C">
            <w:pPr>
              <w:pStyle w:val="TableParagraph"/>
              <w:numPr>
                <w:ilvl w:val="0"/>
                <w:numId w:val="7"/>
              </w:numPr>
              <w:tabs>
                <w:tab w:val="left" w:pos="824"/>
              </w:tabs>
              <w:spacing w:line="296" w:lineRule="exact"/>
              <w:ind w:hanging="360"/>
            </w:pPr>
            <w:r>
              <w:t>leading and supervising review teams and ensuring the fidelity of the</w:t>
            </w:r>
            <w:r>
              <w:rPr>
                <w:spacing w:val="-19"/>
              </w:rPr>
              <w:t xml:space="preserve"> </w:t>
            </w:r>
            <w:r>
              <w:t>process;</w:t>
            </w:r>
          </w:p>
          <w:p w:rsidR="00986B0C" w:rsidRDefault="00986B0C" w:rsidP="00986B0C">
            <w:pPr>
              <w:pStyle w:val="TableParagraph"/>
              <w:numPr>
                <w:ilvl w:val="0"/>
                <w:numId w:val="7"/>
              </w:numPr>
              <w:tabs>
                <w:tab w:val="left" w:pos="824"/>
              </w:tabs>
              <w:spacing w:line="296" w:lineRule="exact"/>
              <w:ind w:hanging="360"/>
            </w:pPr>
            <w:r>
              <w:t>providing technical assistance related to the IFR report findings;</w:t>
            </w:r>
            <w:r>
              <w:rPr>
                <w:spacing w:val="-18"/>
              </w:rPr>
              <w:t xml:space="preserve"> </w:t>
            </w:r>
            <w:r>
              <w:t>and</w:t>
            </w:r>
          </w:p>
          <w:p w:rsidR="00986B0C" w:rsidRDefault="00986B0C" w:rsidP="00986B0C">
            <w:pPr>
              <w:pStyle w:val="TableParagraph"/>
              <w:numPr>
                <w:ilvl w:val="0"/>
                <w:numId w:val="7"/>
              </w:numPr>
              <w:tabs>
                <w:tab w:val="left" w:pos="824"/>
              </w:tabs>
              <w:spacing w:before="1"/>
              <w:ind w:right="128" w:hanging="360"/>
            </w:pPr>
            <w:proofErr w:type="gramStart"/>
            <w:r>
              <w:t>organizing</w:t>
            </w:r>
            <w:proofErr w:type="gramEnd"/>
            <w:r>
              <w:t xml:space="preserve"> and managing the appropriate professional learning and support for all areas in the report,</w:t>
            </w:r>
            <w:r>
              <w:rPr>
                <w:spacing w:val="-34"/>
              </w:rPr>
              <w:t xml:space="preserve"> </w:t>
            </w:r>
            <w:r>
              <w:t>in collaboration with essential AOE</w:t>
            </w:r>
            <w:r>
              <w:rPr>
                <w:spacing w:val="-5"/>
              </w:rPr>
              <w:t xml:space="preserve"> </w:t>
            </w:r>
            <w:r>
              <w:t>teams.</w:t>
            </w:r>
          </w:p>
          <w:p w:rsidR="00986B0C" w:rsidRDefault="00986B0C" w:rsidP="0067439A">
            <w:pPr>
              <w:pStyle w:val="TableParagraph"/>
              <w:spacing w:before="123"/>
              <w:ind w:left="103" w:firstLine="0"/>
              <w:rPr>
                <w:b/>
              </w:rPr>
            </w:pPr>
            <w:r>
              <w:rPr>
                <w:b/>
              </w:rPr>
              <w:t>OUR TEAM LEADS A STATEWIDE SYSTEM OF SUPPORT FOR CONTINUOUS IMPROVEMENT BY:</w:t>
            </w:r>
          </w:p>
          <w:p w:rsidR="00986B0C" w:rsidRDefault="00986B0C" w:rsidP="00986B0C">
            <w:pPr>
              <w:pStyle w:val="TableParagraph"/>
              <w:numPr>
                <w:ilvl w:val="0"/>
                <w:numId w:val="7"/>
              </w:numPr>
              <w:tabs>
                <w:tab w:val="left" w:pos="824"/>
              </w:tabs>
              <w:spacing w:before="44"/>
              <w:ind w:right="873" w:hanging="360"/>
            </w:pPr>
            <w:r>
              <w:t>training and support for applying an improvement science approach to continuous</w:t>
            </w:r>
            <w:r>
              <w:rPr>
                <w:spacing w:val="-28"/>
              </w:rPr>
              <w:t xml:space="preserve"> </w:t>
            </w:r>
            <w:r>
              <w:t>improvement planning;</w:t>
            </w:r>
          </w:p>
          <w:p w:rsidR="00986B0C" w:rsidRDefault="00986B0C" w:rsidP="00986B0C">
            <w:pPr>
              <w:pStyle w:val="TableParagraph"/>
              <w:numPr>
                <w:ilvl w:val="0"/>
                <w:numId w:val="7"/>
              </w:numPr>
              <w:tabs>
                <w:tab w:val="left" w:pos="824"/>
              </w:tabs>
              <w:ind w:right="627" w:hanging="360"/>
            </w:pPr>
            <w:r>
              <w:t>guiding the administration of comprehensive needs assessments and implementation of continuous improvement</w:t>
            </w:r>
            <w:r>
              <w:rPr>
                <w:spacing w:val="-4"/>
              </w:rPr>
              <w:t xml:space="preserve"> </w:t>
            </w:r>
            <w:r>
              <w:t>plans;</w:t>
            </w:r>
          </w:p>
          <w:p w:rsidR="00986B0C" w:rsidRDefault="00986B0C" w:rsidP="00986B0C">
            <w:pPr>
              <w:pStyle w:val="TableParagraph"/>
              <w:numPr>
                <w:ilvl w:val="0"/>
                <w:numId w:val="7"/>
              </w:numPr>
              <w:tabs>
                <w:tab w:val="left" w:pos="824"/>
              </w:tabs>
              <w:ind w:hanging="360"/>
            </w:pPr>
            <w:r>
              <w:t>differentiating support for and monitoring of continuous improvement</w:t>
            </w:r>
            <w:r>
              <w:rPr>
                <w:spacing w:val="-23"/>
              </w:rPr>
              <w:t xml:space="preserve"> </w:t>
            </w:r>
            <w:r>
              <w:t>plans;</w:t>
            </w:r>
          </w:p>
          <w:p w:rsidR="00986B0C" w:rsidRDefault="00986B0C" w:rsidP="00986B0C">
            <w:pPr>
              <w:pStyle w:val="TableParagraph"/>
              <w:numPr>
                <w:ilvl w:val="0"/>
                <w:numId w:val="7"/>
              </w:numPr>
              <w:tabs>
                <w:tab w:val="left" w:pos="824"/>
              </w:tabs>
              <w:ind w:right="414" w:hanging="360"/>
            </w:pPr>
            <w:r>
              <w:t>organizing and managing systems of Networked Improvement Communities (NICs) in which</w:t>
            </w:r>
            <w:r>
              <w:rPr>
                <w:spacing w:val="-27"/>
              </w:rPr>
              <w:t xml:space="preserve"> </w:t>
            </w:r>
            <w:r>
              <w:t>schools can test and revise improvement theories, as well as share promising practices;</w:t>
            </w:r>
            <w:r>
              <w:rPr>
                <w:spacing w:val="-16"/>
              </w:rPr>
              <w:t xml:space="preserve"> </w:t>
            </w:r>
            <w:r>
              <w:t>and</w:t>
            </w:r>
          </w:p>
          <w:p w:rsidR="00986B0C" w:rsidRDefault="00986B0C" w:rsidP="00986B0C">
            <w:pPr>
              <w:pStyle w:val="TableParagraph"/>
              <w:numPr>
                <w:ilvl w:val="0"/>
                <w:numId w:val="7"/>
              </w:numPr>
              <w:tabs>
                <w:tab w:val="left" w:pos="824"/>
              </w:tabs>
              <w:spacing w:before="1"/>
              <w:ind w:hanging="360"/>
            </w:pPr>
            <w:r>
              <w:t>assisting school systems in leveraging federal dollars</w:t>
            </w:r>
            <w:r>
              <w:rPr>
                <w:spacing w:val="-7"/>
              </w:rPr>
              <w:t xml:space="preserve"> </w:t>
            </w:r>
            <w:r>
              <w:t>through:</w:t>
            </w:r>
          </w:p>
          <w:p w:rsidR="00986B0C" w:rsidRDefault="00986B0C" w:rsidP="00986B0C">
            <w:pPr>
              <w:pStyle w:val="TableParagraph"/>
              <w:numPr>
                <w:ilvl w:val="1"/>
                <w:numId w:val="7"/>
              </w:numPr>
              <w:tabs>
                <w:tab w:val="left" w:pos="1544"/>
              </w:tabs>
              <w:spacing w:line="296" w:lineRule="exact"/>
            </w:pPr>
            <w:r>
              <w:t>implementing the school improvement grant application and approval</w:t>
            </w:r>
            <w:r>
              <w:rPr>
                <w:spacing w:val="-20"/>
              </w:rPr>
              <w:t xml:space="preserve"> </w:t>
            </w:r>
            <w:r>
              <w:t>process;</w:t>
            </w:r>
          </w:p>
          <w:p w:rsidR="00986B0C" w:rsidRDefault="00986B0C" w:rsidP="00986B0C">
            <w:pPr>
              <w:pStyle w:val="TableParagraph"/>
              <w:numPr>
                <w:ilvl w:val="1"/>
                <w:numId w:val="7"/>
              </w:numPr>
              <w:tabs>
                <w:tab w:val="left" w:pos="1544"/>
              </w:tabs>
              <w:ind w:right="679"/>
              <w:jc w:val="both"/>
            </w:pPr>
            <w:r>
              <w:t>guiding the development and implementation of comprehensive support and improvement programs, and targeted support and improvement programs, as described in Every Student Succeeds Act, as well as monitoring the implementation and</w:t>
            </w:r>
            <w:r>
              <w:rPr>
                <w:spacing w:val="-21"/>
              </w:rPr>
              <w:t xml:space="preserve"> </w:t>
            </w:r>
            <w:r>
              <w:t>impact;</w:t>
            </w:r>
          </w:p>
          <w:p w:rsidR="00986B0C" w:rsidRDefault="00986B0C" w:rsidP="00986B0C">
            <w:pPr>
              <w:pStyle w:val="TableParagraph"/>
              <w:numPr>
                <w:ilvl w:val="1"/>
                <w:numId w:val="7"/>
              </w:numPr>
              <w:tabs>
                <w:tab w:val="left" w:pos="1544"/>
              </w:tabs>
              <w:spacing w:line="295" w:lineRule="exact"/>
            </w:pPr>
            <w:r>
              <w:t>organizing and coordinating the support system, in collaboration with other AOE teams;</w:t>
            </w:r>
            <w:r>
              <w:rPr>
                <w:spacing w:val="-25"/>
              </w:rPr>
              <w:t xml:space="preserve"> </w:t>
            </w:r>
            <w:r>
              <w:t>and</w:t>
            </w:r>
          </w:p>
          <w:p w:rsidR="00986B0C" w:rsidRDefault="00986B0C" w:rsidP="00986B0C">
            <w:pPr>
              <w:pStyle w:val="TableParagraph"/>
              <w:numPr>
                <w:ilvl w:val="1"/>
                <w:numId w:val="7"/>
              </w:numPr>
              <w:tabs>
                <w:tab w:val="left" w:pos="1544"/>
              </w:tabs>
              <w:rPr>
                <w:sz w:val="20"/>
              </w:rPr>
            </w:pPr>
            <w:proofErr w:type="gramStart"/>
            <w:r>
              <w:t>facilitating</w:t>
            </w:r>
            <w:proofErr w:type="gramEnd"/>
            <w:r>
              <w:t xml:space="preserve"> sessions at the Annual CFP</w:t>
            </w:r>
            <w:r>
              <w:rPr>
                <w:spacing w:val="-14"/>
              </w:rPr>
              <w:t xml:space="preserve"> </w:t>
            </w:r>
            <w:r>
              <w:t>Conference.</w:t>
            </w:r>
          </w:p>
        </w:tc>
      </w:tr>
      <w:tr w:rsidR="00986B0C" w:rsidTr="00E21579">
        <w:trPr>
          <w:trHeight w:hRule="exact" w:val="418"/>
        </w:trPr>
        <w:tc>
          <w:tcPr>
            <w:tcW w:w="11552" w:type="dxa"/>
            <w:gridSpan w:val="3"/>
            <w:shd w:val="clear" w:color="auto" w:fill="205768"/>
          </w:tcPr>
          <w:p w:rsidR="00986B0C" w:rsidRDefault="00986B0C" w:rsidP="0067439A">
            <w:pPr>
              <w:pStyle w:val="TableParagraph"/>
              <w:spacing w:line="376" w:lineRule="exact"/>
              <w:ind w:left="4422" w:right="4423" w:firstLine="0"/>
              <w:jc w:val="center"/>
              <w:rPr>
                <w:rFonts w:ascii="Franklin Gothic Medium"/>
                <w:sz w:val="36"/>
              </w:rPr>
            </w:pPr>
            <w:r>
              <w:rPr>
                <w:rFonts w:ascii="Franklin Gothic Medium"/>
                <w:color w:val="FFFFFF"/>
                <w:sz w:val="36"/>
              </w:rPr>
              <w:t>Key Resources</w:t>
            </w:r>
          </w:p>
        </w:tc>
      </w:tr>
      <w:tr w:rsidR="00986B0C" w:rsidTr="00E21579">
        <w:trPr>
          <w:trHeight w:hRule="exact" w:val="2086"/>
        </w:trPr>
        <w:tc>
          <w:tcPr>
            <w:tcW w:w="11552" w:type="dxa"/>
            <w:gridSpan w:val="3"/>
          </w:tcPr>
          <w:p w:rsidR="00986B0C" w:rsidRDefault="00986B0C" w:rsidP="00986B0C">
            <w:pPr>
              <w:pStyle w:val="TableParagraph"/>
              <w:numPr>
                <w:ilvl w:val="0"/>
                <w:numId w:val="6"/>
              </w:numPr>
              <w:tabs>
                <w:tab w:val="left" w:pos="824"/>
              </w:tabs>
              <w:spacing w:line="276" w:lineRule="auto"/>
              <w:ind w:right="129" w:hanging="360"/>
              <w:rPr>
                <w:rFonts w:ascii="Calibri"/>
              </w:rPr>
            </w:pPr>
            <w:r>
              <w:rPr>
                <w:rFonts w:ascii="Calibri"/>
                <w:b/>
              </w:rPr>
              <w:t>Education Quality and Continuous Improvement Framework</w:t>
            </w:r>
            <w:r>
              <w:rPr>
                <w:rFonts w:ascii="Calibri"/>
              </w:rPr>
              <w:t>-Our quality improvement framework and statewide system of support for education quality and continuous</w:t>
            </w:r>
            <w:r>
              <w:rPr>
                <w:rFonts w:ascii="Calibri"/>
                <w:spacing w:val="-19"/>
              </w:rPr>
              <w:t xml:space="preserve"> </w:t>
            </w:r>
            <w:r>
              <w:rPr>
                <w:rFonts w:ascii="Calibri"/>
              </w:rPr>
              <w:t>improvement.</w:t>
            </w:r>
          </w:p>
          <w:p w:rsidR="00986B0C" w:rsidRDefault="00986B0C" w:rsidP="00986B0C">
            <w:pPr>
              <w:pStyle w:val="TableParagraph"/>
              <w:numPr>
                <w:ilvl w:val="0"/>
                <w:numId w:val="6"/>
              </w:numPr>
              <w:tabs>
                <w:tab w:val="left" w:pos="824"/>
              </w:tabs>
              <w:spacing w:line="276" w:lineRule="auto"/>
              <w:ind w:right="468" w:hanging="360"/>
              <w:rPr>
                <w:rFonts w:ascii="Calibri"/>
              </w:rPr>
            </w:pPr>
            <w:r>
              <w:rPr>
                <w:rFonts w:ascii="Calibri"/>
                <w:b/>
              </w:rPr>
              <w:t>Continuous</w:t>
            </w:r>
            <w:r>
              <w:rPr>
                <w:rFonts w:ascii="Calibri"/>
                <w:b/>
                <w:spacing w:val="-4"/>
              </w:rPr>
              <w:t xml:space="preserve"> </w:t>
            </w:r>
            <w:r>
              <w:rPr>
                <w:rFonts w:ascii="Calibri"/>
                <w:b/>
              </w:rPr>
              <w:t>Improvement</w:t>
            </w:r>
            <w:r>
              <w:rPr>
                <w:rFonts w:ascii="Calibri"/>
                <w:b/>
                <w:spacing w:val="-7"/>
              </w:rPr>
              <w:t xml:space="preserve"> </w:t>
            </w:r>
            <w:r>
              <w:rPr>
                <w:rFonts w:ascii="Calibri"/>
                <w:b/>
              </w:rPr>
              <w:t>Plan</w:t>
            </w:r>
            <w:r>
              <w:rPr>
                <w:rFonts w:ascii="Calibri"/>
                <w:b/>
                <w:spacing w:val="-4"/>
              </w:rPr>
              <w:t xml:space="preserve"> </w:t>
            </w:r>
            <w:r>
              <w:rPr>
                <w:rFonts w:ascii="Calibri"/>
                <w:b/>
              </w:rPr>
              <w:t>Template</w:t>
            </w:r>
            <w:r>
              <w:rPr>
                <w:rFonts w:ascii="Calibri"/>
              </w:rPr>
              <w:t>-Essential</w:t>
            </w:r>
            <w:r>
              <w:rPr>
                <w:rFonts w:ascii="Calibri"/>
                <w:spacing w:val="-4"/>
              </w:rPr>
              <w:t xml:space="preserve"> </w:t>
            </w:r>
            <w:r>
              <w:rPr>
                <w:rFonts w:ascii="Calibri"/>
              </w:rPr>
              <w:t>components</w:t>
            </w:r>
            <w:r>
              <w:rPr>
                <w:rFonts w:ascii="Calibri"/>
                <w:spacing w:val="-3"/>
              </w:rPr>
              <w:t xml:space="preserve"> </w:t>
            </w:r>
            <w:r>
              <w:rPr>
                <w:rFonts w:ascii="Calibri"/>
              </w:rPr>
              <w:t>for</w:t>
            </w:r>
            <w:r>
              <w:rPr>
                <w:rFonts w:ascii="Calibri"/>
                <w:spacing w:val="-4"/>
              </w:rPr>
              <w:t xml:space="preserve"> </w:t>
            </w:r>
            <w:r>
              <w:rPr>
                <w:rFonts w:ascii="Calibri"/>
              </w:rPr>
              <w:t>the</w:t>
            </w:r>
            <w:r>
              <w:rPr>
                <w:rFonts w:ascii="Calibri"/>
                <w:spacing w:val="-4"/>
              </w:rPr>
              <w:t xml:space="preserve"> </w:t>
            </w:r>
            <w:r>
              <w:rPr>
                <w:rFonts w:ascii="Calibri"/>
              </w:rPr>
              <w:t>comprehensive</w:t>
            </w:r>
            <w:r>
              <w:rPr>
                <w:rFonts w:ascii="Calibri"/>
                <w:spacing w:val="-6"/>
              </w:rPr>
              <w:t xml:space="preserve"> </w:t>
            </w:r>
            <w:r>
              <w:rPr>
                <w:rFonts w:ascii="Calibri"/>
              </w:rPr>
              <w:t>needs</w:t>
            </w:r>
            <w:r>
              <w:rPr>
                <w:rFonts w:ascii="Calibri"/>
                <w:spacing w:val="-6"/>
              </w:rPr>
              <w:t xml:space="preserve"> </w:t>
            </w:r>
            <w:r>
              <w:rPr>
                <w:rFonts w:ascii="Calibri"/>
              </w:rPr>
              <w:t>assessment</w:t>
            </w:r>
            <w:r>
              <w:rPr>
                <w:rFonts w:ascii="Calibri"/>
                <w:spacing w:val="-5"/>
              </w:rPr>
              <w:t xml:space="preserve"> </w:t>
            </w:r>
            <w:r>
              <w:rPr>
                <w:rFonts w:ascii="Calibri"/>
              </w:rPr>
              <w:t>and continuous improvement</w:t>
            </w:r>
            <w:r>
              <w:rPr>
                <w:rFonts w:ascii="Calibri"/>
                <w:spacing w:val="-8"/>
              </w:rPr>
              <w:t xml:space="preserve"> </w:t>
            </w:r>
            <w:r>
              <w:rPr>
                <w:rFonts w:ascii="Calibri"/>
              </w:rPr>
              <w:t>plan.</w:t>
            </w:r>
          </w:p>
          <w:p w:rsidR="00986B0C" w:rsidRDefault="00986B0C" w:rsidP="00986B0C">
            <w:pPr>
              <w:pStyle w:val="TableParagraph"/>
              <w:numPr>
                <w:ilvl w:val="0"/>
                <w:numId w:val="6"/>
              </w:numPr>
              <w:tabs>
                <w:tab w:val="left" w:pos="824"/>
              </w:tabs>
              <w:spacing w:line="276" w:lineRule="auto"/>
              <w:ind w:right="640" w:hanging="360"/>
              <w:rPr>
                <w:rFonts w:ascii="Calibri"/>
                <w:sz w:val="20"/>
              </w:rPr>
            </w:pPr>
            <w:r>
              <w:rPr>
                <w:rFonts w:ascii="Calibri"/>
                <w:b/>
              </w:rPr>
              <w:t>EQS Research and Resources Companion Document</w:t>
            </w:r>
            <w:r>
              <w:rPr>
                <w:rFonts w:ascii="Calibri"/>
              </w:rPr>
              <w:t>-A companion to EQS, including success criteria, guiding questions, research, and resources to support effective implementation of EQS</w:t>
            </w:r>
            <w:r>
              <w:rPr>
                <w:rFonts w:ascii="Calibri"/>
                <w:spacing w:val="-23"/>
              </w:rPr>
              <w:t xml:space="preserve"> </w:t>
            </w:r>
            <w:r>
              <w:rPr>
                <w:rFonts w:ascii="Calibri"/>
              </w:rPr>
              <w:t>components</w:t>
            </w:r>
          </w:p>
        </w:tc>
      </w:tr>
      <w:tr w:rsidR="00986B0C" w:rsidTr="00E21579">
        <w:trPr>
          <w:trHeight w:hRule="exact" w:val="418"/>
        </w:trPr>
        <w:tc>
          <w:tcPr>
            <w:tcW w:w="11552" w:type="dxa"/>
            <w:gridSpan w:val="3"/>
            <w:shd w:val="clear" w:color="auto" w:fill="205768"/>
          </w:tcPr>
          <w:p w:rsidR="00986B0C" w:rsidRDefault="00986B0C" w:rsidP="0067439A">
            <w:pPr>
              <w:pStyle w:val="TableParagraph"/>
              <w:spacing w:line="376" w:lineRule="exact"/>
              <w:ind w:left="4421" w:right="4423" w:firstLine="0"/>
              <w:jc w:val="center"/>
              <w:rPr>
                <w:rFonts w:ascii="Franklin Gothic Medium"/>
                <w:sz w:val="36"/>
              </w:rPr>
            </w:pPr>
            <w:r>
              <w:rPr>
                <w:rFonts w:ascii="Franklin Gothic Medium"/>
                <w:color w:val="FFFFFF"/>
                <w:sz w:val="36"/>
              </w:rPr>
              <w:t>Key Staff</w:t>
            </w:r>
          </w:p>
        </w:tc>
      </w:tr>
      <w:tr w:rsidR="00986B0C" w:rsidTr="00E21579">
        <w:trPr>
          <w:trHeight w:hRule="exact" w:val="1198"/>
        </w:trPr>
        <w:tc>
          <w:tcPr>
            <w:tcW w:w="5700" w:type="dxa"/>
            <w:gridSpan w:val="2"/>
            <w:tcBorders>
              <w:right w:val="nil"/>
            </w:tcBorders>
          </w:tcPr>
          <w:p w:rsidR="00986B0C" w:rsidRDefault="00986B0C" w:rsidP="00986B0C">
            <w:pPr>
              <w:pStyle w:val="TableParagraph"/>
              <w:numPr>
                <w:ilvl w:val="0"/>
                <w:numId w:val="5"/>
              </w:numPr>
              <w:tabs>
                <w:tab w:val="left" w:pos="536"/>
              </w:tabs>
              <w:spacing w:before="2" w:line="296" w:lineRule="exact"/>
            </w:pPr>
            <w:r>
              <w:t>Josh Souliere, Assistant</w:t>
            </w:r>
            <w:r>
              <w:rPr>
                <w:spacing w:val="-5"/>
              </w:rPr>
              <w:t xml:space="preserve"> </w:t>
            </w:r>
            <w:r>
              <w:t>Director</w:t>
            </w:r>
          </w:p>
          <w:p w:rsidR="00986B0C" w:rsidRDefault="00986B0C" w:rsidP="00986B0C">
            <w:pPr>
              <w:pStyle w:val="TableParagraph"/>
              <w:numPr>
                <w:ilvl w:val="0"/>
                <w:numId w:val="5"/>
              </w:numPr>
              <w:tabs>
                <w:tab w:val="left" w:pos="536"/>
              </w:tabs>
              <w:spacing w:line="296" w:lineRule="exact"/>
            </w:pPr>
            <w:r>
              <w:t>Donna Stafford, Education Quality</w:t>
            </w:r>
            <w:r>
              <w:rPr>
                <w:spacing w:val="-14"/>
              </w:rPr>
              <w:t xml:space="preserve"> </w:t>
            </w:r>
            <w:r>
              <w:t>Manager</w:t>
            </w:r>
          </w:p>
          <w:p w:rsidR="00986B0C" w:rsidRDefault="00986B0C" w:rsidP="00986B0C">
            <w:pPr>
              <w:pStyle w:val="TableParagraph"/>
              <w:numPr>
                <w:ilvl w:val="0"/>
                <w:numId w:val="5"/>
              </w:numPr>
              <w:tabs>
                <w:tab w:val="left" w:pos="536"/>
              </w:tabs>
            </w:pPr>
            <w:r>
              <w:t>Lori Dolezal, Education Quality</w:t>
            </w:r>
            <w:r>
              <w:rPr>
                <w:spacing w:val="-8"/>
              </w:rPr>
              <w:t xml:space="preserve"> </w:t>
            </w:r>
            <w:r>
              <w:t>Manager</w:t>
            </w:r>
          </w:p>
          <w:p w:rsidR="00986B0C" w:rsidRDefault="00986B0C" w:rsidP="00986B0C">
            <w:pPr>
              <w:pStyle w:val="TableParagraph"/>
              <w:numPr>
                <w:ilvl w:val="0"/>
                <w:numId w:val="5"/>
              </w:numPr>
              <w:tabs>
                <w:tab w:val="left" w:pos="536"/>
              </w:tabs>
            </w:pPr>
            <w:r>
              <w:t>Jesse Roy, Education Quality</w:t>
            </w:r>
            <w:r>
              <w:rPr>
                <w:spacing w:val="-12"/>
              </w:rPr>
              <w:t xml:space="preserve"> </w:t>
            </w:r>
            <w:r>
              <w:t>Coordinator</w:t>
            </w:r>
          </w:p>
        </w:tc>
        <w:tc>
          <w:tcPr>
            <w:tcW w:w="5852" w:type="dxa"/>
            <w:tcBorders>
              <w:left w:val="nil"/>
            </w:tcBorders>
          </w:tcPr>
          <w:p w:rsidR="00986B0C" w:rsidRDefault="00986B0C" w:rsidP="00986B0C">
            <w:pPr>
              <w:pStyle w:val="TableParagraph"/>
              <w:numPr>
                <w:ilvl w:val="0"/>
                <w:numId w:val="4"/>
              </w:numPr>
              <w:tabs>
                <w:tab w:val="left" w:pos="811"/>
              </w:tabs>
              <w:spacing w:before="148"/>
            </w:pPr>
            <w:r>
              <w:t>Vacant, Education Quality</w:t>
            </w:r>
            <w:r>
              <w:rPr>
                <w:spacing w:val="-11"/>
              </w:rPr>
              <w:t xml:space="preserve"> </w:t>
            </w:r>
            <w:r>
              <w:t>Coordinator</w:t>
            </w:r>
          </w:p>
          <w:p w:rsidR="00986B0C" w:rsidRDefault="00986B0C" w:rsidP="00986B0C">
            <w:pPr>
              <w:pStyle w:val="TableParagraph"/>
              <w:numPr>
                <w:ilvl w:val="0"/>
                <w:numId w:val="4"/>
              </w:numPr>
              <w:tabs>
                <w:tab w:val="left" w:pos="811"/>
              </w:tabs>
            </w:pPr>
            <w:r>
              <w:t>Vacant, Education Quality</w:t>
            </w:r>
            <w:r>
              <w:rPr>
                <w:spacing w:val="-11"/>
              </w:rPr>
              <w:t xml:space="preserve"> </w:t>
            </w:r>
            <w:r>
              <w:t>Coordinator</w:t>
            </w:r>
          </w:p>
          <w:p w:rsidR="00986B0C" w:rsidRDefault="00986B0C" w:rsidP="00986B0C">
            <w:pPr>
              <w:pStyle w:val="TableParagraph"/>
              <w:numPr>
                <w:ilvl w:val="0"/>
                <w:numId w:val="4"/>
              </w:numPr>
              <w:tabs>
                <w:tab w:val="left" w:pos="811"/>
              </w:tabs>
            </w:pPr>
            <w:r>
              <w:t>Vacant, Education Quality</w:t>
            </w:r>
            <w:r>
              <w:rPr>
                <w:spacing w:val="-11"/>
              </w:rPr>
              <w:t xml:space="preserve"> </w:t>
            </w:r>
            <w:r>
              <w:t>Coordinator</w:t>
            </w:r>
          </w:p>
        </w:tc>
      </w:tr>
      <w:tr w:rsidR="00986B0C" w:rsidTr="00E21579">
        <w:trPr>
          <w:trHeight w:hRule="exact" w:val="335"/>
        </w:trPr>
        <w:tc>
          <w:tcPr>
            <w:tcW w:w="11552" w:type="dxa"/>
            <w:gridSpan w:val="3"/>
            <w:shd w:val="clear" w:color="auto" w:fill="205768"/>
          </w:tcPr>
          <w:p w:rsidR="00986B0C" w:rsidRDefault="00986B0C" w:rsidP="0067439A"/>
        </w:tc>
      </w:tr>
    </w:tbl>
    <w:p w:rsidR="00986B0C" w:rsidRPr="007822A2" w:rsidRDefault="00986B0C" w:rsidP="007822A2">
      <w:pPr>
        <w:spacing w:before="340" w:line="240" w:lineRule="auto"/>
        <w:outlineLvl w:val="2"/>
        <w:rPr>
          <w:rFonts w:ascii="Palatino Linotype" w:eastAsia="Times New Roman" w:hAnsi="Palatino Linotype" w:cs="Times New Roman"/>
          <w:b/>
          <w:bCs/>
        </w:rPr>
      </w:pPr>
      <w:bookmarkStart w:id="0" w:name="_GoBack"/>
      <w:bookmarkEnd w:id="0"/>
    </w:p>
    <w:sectPr w:rsidR="00986B0C" w:rsidRPr="007822A2" w:rsidSect="0098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77C"/>
    <w:multiLevelType w:val="hybridMultilevel"/>
    <w:tmpl w:val="FC54BEF4"/>
    <w:lvl w:ilvl="0" w:tplc="1960ED62">
      <w:start w:val="1"/>
      <w:numFmt w:val="bullet"/>
      <w:lvlText w:val=""/>
      <w:lvlJc w:val="left"/>
      <w:pPr>
        <w:ind w:left="823" w:hanging="361"/>
      </w:pPr>
      <w:rPr>
        <w:rFonts w:ascii="Symbol" w:eastAsia="Symbol" w:hAnsi="Symbol" w:cs="Symbol" w:hint="default"/>
        <w:w w:val="100"/>
      </w:rPr>
    </w:lvl>
    <w:lvl w:ilvl="1" w:tplc="56CC6C18">
      <w:start w:val="1"/>
      <w:numFmt w:val="bullet"/>
      <w:lvlText w:val="•"/>
      <w:lvlJc w:val="left"/>
      <w:pPr>
        <w:ind w:left="1853" w:hanging="361"/>
      </w:pPr>
      <w:rPr>
        <w:rFonts w:hint="default"/>
      </w:rPr>
    </w:lvl>
    <w:lvl w:ilvl="2" w:tplc="5762B54C">
      <w:start w:val="1"/>
      <w:numFmt w:val="bullet"/>
      <w:lvlText w:val="•"/>
      <w:lvlJc w:val="left"/>
      <w:pPr>
        <w:ind w:left="2886" w:hanging="361"/>
      </w:pPr>
      <w:rPr>
        <w:rFonts w:hint="default"/>
      </w:rPr>
    </w:lvl>
    <w:lvl w:ilvl="3" w:tplc="98208CA4">
      <w:start w:val="1"/>
      <w:numFmt w:val="bullet"/>
      <w:lvlText w:val="•"/>
      <w:lvlJc w:val="left"/>
      <w:pPr>
        <w:ind w:left="3919" w:hanging="361"/>
      </w:pPr>
      <w:rPr>
        <w:rFonts w:hint="default"/>
      </w:rPr>
    </w:lvl>
    <w:lvl w:ilvl="4" w:tplc="D1AA1A4A">
      <w:start w:val="1"/>
      <w:numFmt w:val="bullet"/>
      <w:lvlText w:val="•"/>
      <w:lvlJc w:val="left"/>
      <w:pPr>
        <w:ind w:left="4953" w:hanging="361"/>
      </w:pPr>
      <w:rPr>
        <w:rFonts w:hint="default"/>
      </w:rPr>
    </w:lvl>
    <w:lvl w:ilvl="5" w:tplc="10806854">
      <w:start w:val="1"/>
      <w:numFmt w:val="bullet"/>
      <w:lvlText w:val="•"/>
      <w:lvlJc w:val="left"/>
      <w:pPr>
        <w:ind w:left="5986" w:hanging="361"/>
      </w:pPr>
      <w:rPr>
        <w:rFonts w:hint="default"/>
      </w:rPr>
    </w:lvl>
    <w:lvl w:ilvl="6" w:tplc="D1261CB8">
      <w:start w:val="1"/>
      <w:numFmt w:val="bullet"/>
      <w:lvlText w:val="•"/>
      <w:lvlJc w:val="left"/>
      <w:pPr>
        <w:ind w:left="7019" w:hanging="361"/>
      </w:pPr>
      <w:rPr>
        <w:rFonts w:hint="default"/>
      </w:rPr>
    </w:lvl>
    <w:lvl w:ilvl="7" w:tplc="4A26F7B6">
      <w:start w:val="1"/>
      <w:numFmt w:val="bullet"/>
      <w:lvlText w:val="•"/>
      <w:lvlJc w:val="left"/>
      <w:pPr>
        <w:ind w:left="8052" w:hanging="361"/>
      </w:pPr>
      <w:rPr>
        <w:rFonts w:hint="default"/>
      </w:rPr>
    </w:lvl>
    <w:lvl w:ilvl="8" w:tplc="BDA85ED6">
      <w:start w:val="1"/>
      <w:numFmt w:val="bullet"/>
      <w:lvlText w:val="•"/>
      <w:lvlJc w:val="left"/>
      <w:pPr>
        <w:ind w:left="9086" w:hanging="361"/>
      </w:pPr>
      <w:rPr>
        <w:rFonts w:hint="default"/>
      </w:rPr>
    </w:lvl>
  </w:abstractNum>
  <w:abstractNum w:abstractNumId="1" w15:restartNumberingAfterBreak="0">
    <w:nsid w:val="0F7A6DD2"/>
    <w:multiLevelType w:val="hybridMultilevel"/>
    <w:tmpl w:val="A2869BD2"/>
    <w:lvl w:ilvl="0" w:tplc="599E88DC">
      <w:start w:val="1"/>
      <w:numFmt w:val="bullet"/>
      <w:lvlText w:val=""/>
      <w:lvlJc w:val="left"/>
      <w:pPr>
        <w:ind w:left="810" w:hanging="360"/>
      </w:pPr>
      <w:rPr>
        <w:rFonts w:ascii="Wingdings" w:eastAsia="Wingdings" w:hAnsi="Wingdings" w:cs="Wingdings" w:hint="default"/>
        <w:w w:val="100"/>
        <w:sz w:val="22"/>
        <w:szCs w:val="22"/>
      </w:rPr>
    </w:lvl>
    <w:lvl w:ilvl="1" w:tplc="C0A0553C">
      <w:start w:val="1"/>
      <w:numFmt w:val="bullet"/>
      <w:lvlText w:val="•"/>
      <w:lvlJc w:val="left"/>
      <w:pPr>
        <w:ind w:left="1322" w:hanging="360"/>
      </w:pPr>
      <w:rPr>
        <w:rFonts w:hint="default"/>
      </w:rPr>
    </w:lvl>
    <w:lvl w:ilvl="2" w:tplc="30C2E60A">
      <w:start w:val="1"/>
      <w:numFmt w:val="bullet"/>
      <w:lvlText w:val="•"/>
      <w:lvlJc w:val="left"/>
      <w:pPr>
        <w:ind w:left="1825" w:hanging="360"/>
      </w:pPr>
      <w:rPr>
        <w:rFonts w:hint="default"/>
      </w:rPr>
    </w:lvl>
    <w:lvl w:ilvl="3" w:tplc="A8AC799C">
      <w:start w:val="1"/>
      <w:numFmt w:val="bullet"/>
      <w:lvlText w:val="•"/>
      <w:lvlJc w:val="left"/>
      <w:pPr>
        <w:ind w:left="2328" w:hanging="360"/>
      </w:pPr>
      <w:rPr>
        <w:rFonts w:hint="default"/>
      </w:rPr>
    </w:lvl>
    <w:lvl w:ilvl="4" w:tplc="B1CEDAA4">
      <w:start w:val="1"/>
      <w:numFmt w:val="bullet"/>
      <w:lvlText w:val="•"/>
      <w:lvlJc w:val="left"/>
      <w:pPr>
        <w:ind w:left="2830" w:hanging="360"/>
      </w:pPr>
      <w:rPr>
        <w:rFonts w:hint="default"/>
      </w:rPr>
    </w:lvl>
    <w:lvl w:ilvl="5" w:tplc="3EFCB6F8">
      <w:start w:val="1"/>
      <w:numFmt w:val="bullet"/>
      <w:lvlText w:val="•"/>
      <w:lvlJc w:val="left"/>
      <w:pPr>
        <w:ind w:left="3333" w:hanging="360"/>
      </w:pPr>
      <w:rPr>
        <w:rFonts w:hint="default"/>
      </w:rPr>
    </w:lvl>
    <w:lvl w:ilvl="6" w:tplc="BB14952A">
      <w:start w:val="1"/>
      <w:numFmt w:val="bullet"/>
      <w:lvlText w:val="•"/>
      <w:lvlJc w:val="left"/>
      <w:pPr>
        <w:ind w:left="3836" w:hanging="360"/>
      </w:pPr>
      <w:rPr>
        <w:rFonts w:hint="default"/>
      </w:rPr>
    </w:lvl>
    <w:lvl w:ilvl="7" w:tplc="F084AF42">
      <w:start w:val="1"/>
      <w:numFmt w:val="bullet"/>
      <w:lvlText w:val="•"/>
      <w:lvlJc w:val="left"/>
      <w:pPr>
        <w:ind w:left="4339" w:hanging="360"/>
      </w:pPr>
      <w:rPr>
        <w:rFonts w:hint="default"/>
      </w:rPr>
    </w:lvl>
    <w:lvl w:ilvl="8" w:tplc="0AFE0DF6">
      <w:start w:val="1"/>
      <w:numFmt w:val="bullet"/>
      <w:lvlText w:val="•"/>
      <w:lvlJc w:val="left"/>
      <w:pPr>
        <w:ind w:left="4841" w:hanging="360"/>
      </w:pPr>
      <w:rPr>
        <w:rFonts w:hint="default"/>
      </w:rPr>
    </w:lvl>
  </w:abstractNum>
  <w:abstractNum w:abstractNumId="2" w15:restartNumberingAfterBreak="0">
    <w:nsid w:val="28CC613E"/>
    <w:multiLevelType w:val="multilevel"/>
    <w:tmpl w:val="917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D3897"/>
    <w:multiLevelType w:val="hybridMultilevel"/>
    <w:tmpl w:val="C98C7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43256"/>
    <w:multiLevelType w:val="hybridMultilevel"/>
    <w:tmpl w:val="B4165B2C"/>
    <w:lvl w:ilvl="0" w:tplc="09685216">
      <w:start w:val="1"/>
      <w:numFmt w:val="bullet"/>
      <w:lvlText w:val=""/>
      <w:lvlJc w:val="left"/>
      <w:pPr>
        <w:ind w:left="823" w:hanging="361"/>
      </w:pPr>
      <w:rPr>
        <w:rFonts w:ascii="Wingdings" w:eastAsia="Wingdings" w:hAnsi="Wingdings" w:cs="Wingdings" w:hint="default"/>
        <w:w w:val="100"/>
        <w:sz w:val="22"/>
        <w:szCs w:val="22"/>
      </w:rPr>
    </w:lvl>
    <w:lvl w:ilvl="1" w:tplc="A81E1422">
      <w:start w:val="1"/>
      <w:numFmt w:val="bullet"/>
      <w:lvlText w:val="o"/>
      <w:lvlJc w:val="left"/>
      <w:pPr>
        <w:ind w:left="1543" w:hanging="360"/>
      </w:pPr>
      <w:rPr>
        <w:rFonts w:ascii="Courier New" w:eastAsia="Courier New" w:hAnsi="Courier New" w:cs="Courier New" w:hint="default"/>
        <w:w w:val="100"/>
      </w:rPr>
    </w:lvl>
    <w:lvl w:ilvl="2" w:tplc="BB066560">
      <w:start w:val="1"/>
      <w:numFmt w:val="bullet"/>
      <w:lvlText w:val="•"/>
      <w:lvlJc w:val="left"/>
      <w:pPr>
        <w:ind w:left="2608" w:hanging="360"/>
      </w:pPr>
      <w:rPr>
        <w:rFonts w:hint="default"/>
      </w:rPr>
    </w:lvl>
    <w:lvl w:ilvl="3" w:tplc="79588A94">
      <w:start w:val="1"/>
      <w:numFmt w:val="bullet"/>
      <w:lvlText w:val="•"/>
      <w:lvlJc w:val="left"/>
      <w:pPr>
        <w:ind w:left="3676" w:hanging="360"/>
      </w:pPr>
      <w:rPr>
        <w:rFonts w:hint="default"/>
      </w:rPr>
    </w:lvl>
    <w:lvl w:ilvl="4" w:tplc="BC4A1494">
      <w:start w:val="1"/>
      <w:numFmt w:val="bullet"/>
      <w:lvlText w:val="•"/>
      <w:lvlJc w:val="left"/>
      <w:pPr>
        <w:ind w:left="4744" w:hanging="360"/>
      </w:pPr>
      <w:rPr>
        <w:rFonts w:hint="default"/>
      </w:rPr>
    </w:lvl>
    <w:lvl w:ilvl="5" w:tplc="B53AE6CC">
      <w:start w:val="1"/>
      <w:numFmt w:val="bullet"/>
      <w:lvlText w:val="•"/>
      <w:lvlJc w:val="left"/>
      <w:pPr>
        <w:ind w:left="5812" w:hanging="360"/>
      </w:pPr>
      <w:rPr>
        <w:rFonts w:hint="default"/>
      </w:rPr>
    </w:lvl>
    <w:lvl w:ilvl="6" w:tplc="ACAAA5CC">
      <w:start w:val="1"/>
      <w:numFmt w:val="bullet"/>
      <w:lvlText w:val="•"/>
      <w:lvlJc w:val="left"/>
      <w:pPr>
        <w:ind w:left="6880" w:hanging="360"/>
      </w:pPr>
      <w:rPr>
        <w:rFonts w:hint="default"/>
      </w:rPr>
    </w:lvl>
    <w:lvl w:ilvl="7" w:tplc="0FFED25C">
      <w:start w:val="1"/>
      <w:numFmt w:val="bullet"/>
      <w:lvlText w:val="•"/>
      <w:lvlJc w:val="left"/>
      <w:pPr>
        <w:ind w:left="7948" w:hanging="360"/>
      </w:pPr>
      <w:rPr>
        <w:rFonts w:hint="default"/>
      </w:rPr>
    </w:lvl>
    <w:lvl w:ilvl="8" w:tplc="AEC4330C">
      <w:start w:val="1"/>
      <w:numFmt w:val="bullet"/>
      <w:lvlText w:val="•"/>
      <w:lvlJc w:val="left"/>
      <w:pPr>
        <w:ind w:left="9016" w:hanging="360"/>
      </w:pPr>
      <w:rPr>
        <w:rFonts w:hint="default"/>
      </w:rPr>
    </w:lvl>
  </w:abstractNum>
  <w:abstractNum w:abstractNumId="5" w15:restartNumberingAfterBreak="0">
    <w:nsid w:val="59A005DB"/>
    <w:multiLevelType w:val="multilevel"/>
    <w:tmpl w:val="B9C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335B2"/>
    <w:multiLevelType w:val="hybridMultilevel"/>
    <w:tmpl w:val="469E7F7A"/>
    <w:lvl w:ilvl="0" w:tplc="C7F6C8FA">
      <w:start w:val="1"/>
      <w:numFmt w:val="bullet"/>
      <w:lvlText w:val=""/>
      <w:lvlJc w:val="left"/>
      <w:pPr>
        <w:ind w:left="535" w:hanging="360"/>
      </w:pPr>
      <w:rPr>
        <w:rFonts w:ascii="Wingdings" w:eastAsia="Wingdings" w:hAnsi="Wingdings" w:cs="Wingdings" w:hint="default"/>
        <w:w w:val="100"/>
        <w:sz w:val="22"/>
        <w:szCs w:val="22"/>
      </w:rPr>
    </w:lvl>
    <w:lvl w:ilvl="1" w:tplc="ABC2B760">
      <w:start w:val="1"/>
      <w:numFmt w:val="bullet"/>
      <w:lvlText w:val="•"/>
      <w:lvlJc w:val="left"/>
      <w:pPr>
        <w:ind w:left="1016" w:hanging="360"/>
      </w:pPr>
      <w:rPr>
        <w:rFonts w:hint="default"/>
      </w:rPr>
    </w:lvl>
    <w:lvl w:ilvl="2" w:tplc="7DD48D94">
      <w:start w:val="1"/>
      <w:numFmt w:val="bullet"/>
      <w:lvlText w:val="•"/>
      <w:lvlJc w:val="left"/>
      <w:pPr>
        <w:ind w:left="1493" w:hanging="360"/>
      </w:pPr>
      <w:rPr>
        <w:rFonts w:hint="default"/>
      </w:rPr>
    </w:lvl>
    <w:lvl w:ilvl="3" w:tplc="E368B950">
      <w:start w:val="1"/>
      <w:numFmt w:val="bullet"/>
      <w:lvlText w:val="•"/>
      <w:lvlJc w:val="left"/>
      <w:pPr>
        <w:ind w:left="1969" w:hanging="360"/>
      </w:pPr>
      <w:rPr>
        <w:rFonts w:hint="default"/>
      </w:rPr>
    </w:lvl>
    <w:lvl w:ilvl="4" w:tplc="D66681DC">
      <w:start w:val="1"/>
      <w:numFmt w:val="bullet"/>
      <w:lvlText w:val="•"/>
      <w:lvlJc w:val="left"/>
      <w:pPr>
        <w:ind w:left="2446" w:hanging="360"/>
      </w:pPr>
      <w:rPr>
        <w:rFonts w:hint="default"/>
      </w:rPr>
    </w:lvl>
    <w:lvl w:ilvl="5" w:tplc="6CB6E92A">
      <w:start w:val="1"/>
      <w:numFmt w:val="bullet"/>
      <w:lvlText w:val="•"/>
      <w:lvlJc w:val="left"/>
      <w:pPr>
        <w:ind w:left="2922" w:hanging="360"/>
      </w:pPr>
      <w:rPr>
        <w:rFonts w:hint="default"/>
      </w:rPr>
    </w:lvl>
    <w:lvl w:ilvl="6" w:tplc="7FD486CA">
      <w:start w:val="1"/>
      <w:numFmt w:val="bullet"/>
      <w:lvlText w:val="•"/>
      <w:lvlJc w:val="left"/>
      <w:pPr>
        <w:ind w:left="3399" w:hanging="360"/>
      </w:pPr>
      <w:rPr>
        <w:rFonts w:hint="default"/>
      </w:rPr>
    </w:lvl>
    <w:lvl w:ilvl="7" w:tplc="95A8D43C">
      <w:start w:val="1"/>
      <w:numFmt w:val="bullet"/>
      <w:lvlText w:val="•"/>
      <w:lvlJc w:val="left"/>
      <w:pPr>
        <w:ind w:left="3875" w:hanging="360"/>
      </w:pPr>
      <w:rPr>
        <w:rFonts w:hint="default"/>
      </w:rPr>
    </w:lvl>
    <w:lvl w:ilvl="8" w:tplc="88D0FC7E">
      <w:start w:val="1"/>
      <w:numFmt w:val="bullet"/>
      <w:lvlText w:val="•"/>
      <w:lvlJc w:val="left"/>
      <w:pPr>
        <w:ind w:left="4352" w:hanging="360"/>
      </w:pPr>
      <w:rPr>
        <w:rFont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DE"/>
    <w:rsid w:val="00172767"/>
    <w:rsid w:val="006E344E"/>
    <w:rsid w:val="007822A2"/>
    <w:rsid w:val="00986A3E"/>
    <w:rsid w:val="00986B0C"/>
    <w:rsid w:val="009931DE"/>
    <w:rsid w:val="00B27BE3"/>
    <w:rsid w:val="00BE0CDD"/>
    <w:rsid w:val="00E21579"/>
    <w:rsid w:val="00EA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386BE-2636-4645-9521-9FA27D16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3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31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1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31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3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1DE"/>
    <w:rPr>
      <w:color w:val="0000FF"/>
      <w:u w:val="single"/>
    </w:rPr>
  </w:style>
  <w:style w:type="paragraph" w:styleId="ListParagraph">
    <w:name w:val="List Paragraph"/>
    <w:basedOn w:val="Normal"/>
    <w:uiPriority w:val="34"/>
    <w:qFormat/>
    <w:rsid w:val="007822A2"/>
    <w:pPr>
      <w:ind w:left="720"/>
      <w:contextualSpacing/>
    </w:pPr>
  </w:style>
  <w:style w:type="paragraph" w:customStyle="1" w:styleId="TableParagraph">
    <w:name w:val="Table Paragraph"/>
    <w:basedOn w:val="Normal"/>
    <w:uiPriority w:val="1"/>
    <w:qFormat/>
    <w:rsid w:val="00986B0C"/>
    <w:pPr>
      <w:widowControl w:val="0"/>
      <w:spacing w:after="0" w:line="240" w:lineRule="auto"/>
      <w:ind w:left="823" w:hanging="360"/>
    </w:pPr>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98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ducation.vermont.gov/memos/edu-memo-aoe-staff-realig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vermont.gov/documents/state-board-rules-series-2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68D46B37</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Vermont Agency of Education</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 Lori</dc:creator>
  <cp:lastModifiedBy>Dolezal, Lori</cp:lastModifiedBy>
  <cp:revision>3</cp:revision>
  <cp:lastPrinted>2016-09-23T16:31:00Z</cp:lastPrinted>
  <dcterms:created xsi:type="dcterms:W3CDTF">2016-09-23T16:29:00Z</dcterms:created>
  <dcterms:modified xsi:type="dcterms:W3CDTF">2016-09-23T16:31:00Z</dcterms:modified>
</cp:coreProperties>
</file>